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5F39" w14:textId="5899B151" w:rsidR="00A32CDD" w:rsidRDefault="00FE7CD3" w:rsidP="00A32CDD">
      <w:pPr>
        <w:rPr>
          <w:sz w:val="22"/>
          <w:szCs w:val="22"/>
        </w:rPr>
      </w:pPr>
      <w:r w:rsidRPr="00EE25AD">
        <w:rPr>
          <w:sz w:val="22"/>
          <w:szCs w:val="22"/>
        </w:rPr>
        <w:t>T</w:t>
      </w:r>
      <w:r w:rsidR="006000DE" w:rsidRPr="00EE25AD">
        <w:rPr>
          <w:sz w:val="22"/>
          <w:szCs w:val="22"/>
        </w:rPr>
        <w:t>ropical Storm</w:t>
      </w:r>
      <w:r w:rsidRPr="00EE25AD">
        <w:rPr>
          <w:sz w:val="22"/>
          <w:szCs w:val="22"/>
        </w:rPr>
        <w:t xml:space="preserve"> Helene has caused conditions that t</w:t>
      </w:r>
      <w:r w:rsidR="00A32CDD" w:rsidRPr="00EE25AD">
        <w:rPr>
          <w:sz w:val="22"/>
          <w:szCs w:val="22"/>
        </w:rPr>
        <w:t>he Department has determined</w:t>
      </w:r>
      <w:r w:rsidR="00EE25AD">
        <w:rPr>
          <w:sz w:val="22"/>
          <w:szCs w:val="22"/>
        </w:rPr>
        <w:t xml:space="preserve"> to</w:t>
      </w:r>
      <w:r w:rsidR="00A32CDD" w:rsidRPr="00EE25AD">
        <w:rPr>
          <w:sz w:val="22"/>
          <w:szCs w:val="22"/>
        </w:rPr>
        <w:t xml:space="preserve"> constitute an IMMINENT HAZARD </w:t>
      </w:r>
      <w:r w:rsidR="00B8473B">
        <w:rPr>
          <w:sz w:val="22"/>
          <w:szCs w:val="22"/>
        </w:rPr>
        <w:t>as set forth in</w:t>
      </w:r>
      <w:r w:rsidR="00A32CDD" w:rsidRPr="00EE25AD">
        <w:rPr>
          <w:sz w:val="22"/>
          <w:szCs w:val="22"/>
        </w:rPr>
        <w:t xml:space="preserve"> G.S. 130A-23 and that the imminent hazard requires emergency action </w:t>
      </w:r>
      <w:proofErr w:type="gramStart"/>
      <w:r w:rsidR="00A32CDD" w:rsidRPr="00EE25AD">
        <w:rPr>
          <w:sz w:val="22"/>
          <w:szCs w:val="22"/>
        </w:rPr>
        <w:t>in order to</w:t>
      </w:r>
      <w:proofErr w:type="gramEnd"/>
      <w:r w:rsidR="00A32CDD" w:rsidRPr="00EE25AD">
        <w:rPr>
          <w:sz w:val="22"/>
          <w:szCs w:val="22"/>
        </w:rPr>
        <w:t xml:space="preserve"> protect the public health</w:t>
      </w:r>
      <w:r w:rsidRPr="00EE25AD">
        <w:rPr>
          <w:sz w:val="22"/>
          <w:szCs w:val="22"/>
        </w:rPr>
        <w:t xml:space="preserve">.  According to NC Food Code 8-404.11(A), food service permit holders are required to cease operations </w:t>
      </w:r>
      <w:r w:rsidR="003A5AE9">
        <w:rPr>
          <w:sz w:val="22"/>
          <w:szCs w:val="22"/>
        </w:rPr>
        <w:t xml:space="preserve">and notify the local health department </w:t>
      </w:r>
      <w:r w:rsidRPr="00EE25AD">
        <w:rPr>
          <w:sz w:val="22"/>
          <w:szCs w:val="22"/>
        </w:rPr>
        <w:t>in the event of a flood, extended interruption of power or water supplies, or sewage backup</w:t>
      </w:r>
      <w:r w:rsidR="000C50C7">
        <w:rPr>
          <w:sz w:val="22"/>
          <w:szCs w:val="22"/>
        </w:rPr>
        <w:t>, or other circumstances that may endanger public health</w:t>
      </w:r>
      <w:r w:rsidRPr="00EE25AD">
        <w:rPr>
          <w:sz w:val="22"/>
          <w:szCs w:val="22"/>
        </w:rPr>
        <w:t>.</w:t>
      </w:r>
      <w:r w:rsidR="00A32CDD" w:rsidRPr="00EE25AD">
        <w:rPr>
          <w:sz w:val="22"/>
          <w:szCs w:val="22"/>
        </w:rPr>
        <w:t xml:space="preserve"> </w:t>
      </w:r>
      <w:r w:rsidRPr="00EE25AD">
        <w:rPr>
          <w:b/>
          <w:bCs/>
          <w:sz w:val="22"/>
          <w:szCs w:val="22"/>
        </w:rPr>
        <w:t>Food</w:t>
      </w:r>
      <w:r w:rsidR="00A32CDD" w:rsidRPr="00EE25AD">
        <w:rPr>
          <w:b/>
          <w:bCs/>
          <w:sz w:val="22"/>
          <w:szCs w:val="22"/>
        </w:rPr>
        <w:t xml:space="preserve"> establishment</w:t>
      </w:r>
      <w:r w:rsidR="00E74C8A" w:rsidRPr="00EE25AD">
        <w:rPr>
          <w:b/>
          <w:bCs/>
          <w:sz w:val="22"/>
          <w:szCs w:val="22"/>
        </w:rPr>
        <w:t>s</w:t>
      </w:r>
      <w:r w:rsidR="00EE25AD">
        <w:rPr>
          <w:b/>
          <w:bCs/>
          <w:sz w:val="22"/>
          <w:szCs w:val="22"/>
        </w:rPr>
        <w:t xml:space="preserve"> </w:t>
      </w:r>
      <w:r w:rsidR="00EE25AD" w:rsidRPr="00EE25AD">
        <w:rPr>
          <w:b/>
          <w:bCs/>
          <w:sz w:val="22"/>
          <w:szCs w:val="22"/>
        </w:rPr>
        <w:t xml:space="preserve">(without an approved emergency water </w:t>
      </w:r>
      <w:r w:rsidR="00A26646" w:rsidRPr="00EE25AD">
        <w:rPr>
          <w:b/>
          <w:bCs/>
          <w:sz w:val="22"/>
          <w:szCs w:val="22"/>
        </w:rPr>
        <w:t>plan) with</w:t>
      </w:r>
      <w:r w:rsidR="00A32CDD" w:rsidRPr="00EE25AD">
        <w:rPr>
          <w:b/>
          <w:bCs/>
          <w:sz w:val="22"/>
          <w:szCs w:val="22"/>
        </w:rPr>
        <w:t xml:space="preserve"> permits or transitional permits issued by the</w:t>
      </w:r>
      <w:r w:rsidR="00E74C8A" w:rsidRPr="00EE25AD">
        <w:rPr>
          <w:b/>
          <w:bCs/>
          <w:sz w:val="22"/>
          <w:szCs w:val="22"/>
        </w:rPr>
        <w:t xml:space="preserve"> </w:t>
      </w:r>
      <w:r w:rsidR="00494BB8">
        <w:rPr>
          <w:b/>
          <w:bCs/>
          <w:sz w:val="22"/>
          <w:szCs w:val="22"/>
        </w:rPr>
        <w:t>Henderson</w:t>
      </w:r>
      <w:r w:rsidR="00A32CDD" w:rsidRPr="00EE25AD">
        <w:rPr>
          <w:b/>
          <w:bCs/>
          <w:sz w:val="22"/>
          <w:szCs w:val="22"/>
        </w:rPr>
        <w:t xml:space="preserve"> County Health Department </w:t>
      </w:r>
      <w:r w:rsidR="00E74C8A" w:rsidRPr="00EE25AD">
        <w:rPr>
          <w:b/>
          <w:bCs/>
          <w:sz w:val="22"/>
          <w:szCs w:val="22"/>
        </w:rPr>
        <w:t xml:space="preserve">where these conditions </w:t>
      </w:r>
      <w:r w:rsidR="006000DE" w:rsidRPr="00EE25AD">
        <w:rPr>
          <w:b/>
          <w:bCs/>
          <w:sz w:val="22"/>
          <w:szCs w:val="22"/>
        </w:rPr>
        <w:t>occurred</w:t>
      </w:r>
      <w:r w:rsidR="00A32CDD" w:rsidRPr="00EE25AD">
        <w:rPr>
          <w:b/>
          <w:bCs/>
          <w:sz w:val="22"/>
          <w:szCs w:val="22"/>
        </w:rPr>
        <w:t xml:space="preserve"> are hereby IMMEDIATELY SUSPENDED in accordance with G.S. 130A-23(d).</w:t>
      </w:r>
      <w:r w:rsidR="00A32CDD" w:rsidRPr="00EE25AD">
        <w:rPr>
          <w:sz w:val="22"/>
          <w:szCs w:val="22"/>
        </w:rPr>
        <w:t xml:space="preserve"> The </w:t>
      </w:r>
      <w:r w:rsidR="00E74C8A" w:rsidRPr="00EE25AD">
        <w:rPr>
          <w:sz w:val="22"/>
          <w:szCs w:val="22"/>
        </w:rPr>
        <w:t xml:space="preserve">permit cannot be reinstated until the </w:t>
      </w:r>
      <w:r w:rsidR="006000DE" w:rsidRPr="00EE25AD">
        <w:rPr>
          <w:sz w:val="22"/>
          <w:szCs w:val="22"/>
        </w:rPr>
        <w:t>facility</w:t>
      </w:r>
      <w:r w:rsidR="00E74C8A" w:rsidRPr="00EE25AD">
        <w:rPr>
          <w:sz w:val="22"/>
          <w:szCs w:val="22"/>
        </w:rPr>
        <w:t xml:space="preserve"> no longer meets the conditions of the imminent hazard</w:t>
      </w:r>
      <w:r w:rsidR="00A32CDD" w:rsidRPr="00EE25AD">
        <w:rPr>
          <w:sz w:val="22"/>
          <w:szCs w:val="22"/>
        </w:rPr>
        <w:t xml:space="preserve">. </w:t>
      </w:r>
      <w:r w:rsidR="00A32CDD" w:rsidRPr="00A26646">
        <w:rPr>
          <w:b/>
          <w:bCs/>
          <w:sz w:val="22"/>
          <w:szCs w:val="22"/>
        </w:rPr>
        <w:t>YOU MUST CEASE OPERATIONS IMMEDIATELY AND CANNOT OPERATE YOUR ESTABLISHMENT WHILE YOUR PERMIT IS SUSPENDED</w:t>
      </w:r>
      <w:r w:rsidR="00A32CDD" w:rsidRPr="00EE25AD">
        <w:rPr>
          <w:sz w:val="22"/>
          <w:szCs w:val="22"/>
        </w:rPr>
        <w:t>. Operation of your establishment without a permit or while the permit is suspended or revoked may lead to civil action to require you to cease operation, or criminal charges in accordance with G.S. 130A-25, or both.</w:t>
      </w:r>
      <w:r w:rsidR="00E74C8A" w:rsidRPr="00EE25AD">
        <w:rPr>
          <w:sz w:val="22"/>
          <w:szCs w:val="22"/>
        </w:rPr>
        <w:t xml:space="preserve">  </w:t>
      </w:r>
    </w:p>
    <w:p w14:paraId="3A57D833" w14:textId="77777777" w:rsidR="00C12F05" w:rsidRDefault="00C12F05" w:rsidP="00A32CDD">
      <w:pPr>
        <w:rPr>
          <w:sz w:val="22"/>
          <w:szCs w:val="22"/>
        </w:rPr>
      </w:pPr>
    </w:p>
    <w:p w14:paraId="262CA747" w14:textId="34A917C6" w:rsidR="00C12F05" w:rsidRPr="00EE25AD" w:rsidRDefault="00C12F05" w:rsidP="00C12F05">
      <w:pPr>
        <w:rPr>
          <w:sz w:val="22"/>
          <w:szCs w:val="22"/>
        </w:rPr>
      </w:pPr>
      <w:r w:rsidRPr="00EE25AD">
        <w:rPr>
          <w:sz w:val="22"/>
          <w:szCs w:val="22"/>
        </w:rPr>
        <w:t xml:space="preserve">Prior to reopening, your food establishment must </w:t>
      </w:r>
      <w:r w:rsidR="00B40B68">
        <w:rPr>
          <w:sz w:val="22"/>
          <w:szCs w:val="22"/>
        </w:rPr>
        <w:t xml:space="preserve">satisfy </w:t>
      </w:r>
      <w:r w:rsidRPr="00EE25AD">
        <w:rPr>
          <w:sz w:val="22"/>
          <w:szCs w:val="22"/>
        </w:rPr>
        <w:t>the requirements of Sections 15A NCAC 18A .2600, .3200, .1000, .3500, or .3600, et seq. as applicable. The following conditions must be met</w:t>
      </w:r>
      <w:r w:rsidR="00B40B68">
        <w:rPr>
          <w:sz w:val="22"/>
          <w:szCs w:val="22"/>
        </w:rPr>
        <w:t>, as determined by the local health department</w:t>
      </w:r>
      <w:r w:rsidRPr="00EE25AD">
        <w:rPr>
          <w:sz w:val="22"/>
          <w:szCs w:val="22"/>
        </w:rPr>
        <w:t>:</w:t>
      </w:r>
    </w:p>
    <w:p w14:paraId="1A1A27E3" w14:textId="77777777" w:rsidR="00C12F05" w:rsidRPr="00EE25AD" w:rsidRDefault="00C12F05" w:rsidP="00C12F05">
      <w:pPr>
        <w:rPr>
          <w:sz w:val="22"/>
          <w:szCs w:val="22"/>
        </w:rPr>
      </w:pPr>
      <w:r w:rsidRPr="00EE25AD">
        <w:rPr>
          <w:sz w:val="22"/>
          <w:szCs w:val="22"/>
        </w:rPr>
        <w:t> </w:t>
      </w:r>
    </w:p>
    <w:p w14:paraId="7878E1D0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Discard any time/temperature control for safety (TCS) food that was out of temperature control (&gt;41F) for more than 4 </w:t>
      </w:r>
      <w:proofErr w:type="gramStart"/>
      <w:r w:rsidRPr="00EE25AD">
        <w:rPr>
          <w:sz w:val="22"/>
          <w:szCs w:val="22"/>
        </w:rPr>
        <w:t>hours;</w:t>
      </w:r>
      <w:proofErr w:type="gramEnd"/>
    </w:p>
    <w:p w14:paraId="507BEB29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EE25AD">
        <w:rPr>
          <w:sz w:val="22"/>
          <w:szCs w:val="22"/>
        </w:rPr>
        <w:t xml:space="preserve">he capability to provide food </w:t>
      </w:r>
      <w:r>
        <w:rPr>
          <w:sz w:val="22"/>
          <w:szCs w:val="22"/>
        </w:rPr>
        <w:t>(</w:t>
      </w:r>
      <w:r w:rsidRPr="00EE25AD">
        <w:rPr>
          <w:sz w:val="22"/>
          <w:szCs w:val="22"/>
        </w:rPr>
        <w:t>that has been maintained in temperature control</w:t>
      </w:r>
      <w:r>
        <w:rPr>
          <w:sz w:val="22"/>
          <w:szCs w:val="22"/>
        </w:rPr>
        <w:t>)</w:t>
      </w:r>
      <w:r w:rsidRPr="00EE25AD">
        <w:rPr>
          <w:sz w:val="22"/>
          <w:szCs w:val="22"/>
        </w:rPr>
        <w:t xml:space="preserve"> from an approved source and provide invoices that show source of the </w:t>
      </w:r>
      <w:proofErr w:type="gramStart"/>
      <w:r w:rsidRPr="00EE25AD">
        <w:rPr>
          <w:sz w:val="22"/>
          <w:szCs w:val="22"/>
        </w:rPr>
        <w:t>food;</w:t>
      </w:r>
      <w:proofErr w:type="gramEnd"/>
    </w:p>
    <w:p w14:paraId="3CF974D0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EE25AD">
        <w:rPr>
          <w:sz w:val="22"/>
          <w:szCs w:val="22"/>
        </w:rPr>
        <w:t xml:space="preserve">he capability to provide adequate water that is available for cleaning and </w:t>
      </w:r>
      <w:proofErr w:type="gramStart"/>
      <w:r w:rsidRPr="00EE25AD">
        <w:rPr>
          <w:sz w:val="22"/>
          <w:szCs w:val="22"/>
        </w:rPr>
        <w:t>handwashing;</w:t>
      </w:r>
      <w:proofErr w:type="gramEnd"/>
      <w:r w:rsidRPr="00EE25AD">
        <w:rPr>
          <w:sz w:val="22"/>
          <w:szCs w:val="22"/>
        </w:rPr>
        <w:t> </w:t>
      </w:r>
    </w:p>
    <w:p w14:paraId="49031F23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EE25AD">
        <w:rPr>
          <w:sz w:val="22"/>
          <w:szCs w:val="22"/>
        </w:rPr>
        <w:t xml:space="preserve">he capability to provide functioning refrigeration equipment, with adequate cold holding storage capacity to maintain foods at 41F or </w:t>
      </w:r>
      <w:proofErr w:type="gramStart"/>
      <w:r w:rsidRPr="00EE25AD">
        <w:rPr>
          <w:sz w:val="22"/>
          <w:szCs w:val="22"/>
        </w:rPr>
        <w:t>below</w:t>
      </w:r>
      <w:r>
        <w:rPr>
          <w:sz w:val="22"/>
          <w:szCs w:val="22"/>
        </w:rPr>
        <w:t>;</w:t>
      </w:r>
      <w:proofErr w:type="gramEnd"/>
    </w:p>
    <w:p w14:paraId="17CE57CF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Clean and sanitize any areas that may have been in contact with contaminated water, including sinks, ice machines, soda fountains, coffee makers, </w:t>
      </w:r>
      <w:proofErr w:type="spellStart"/>
      <w:proofErr w:type="gramStart"/>
      <w:r w:rsidRPr="00EE25AD"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;</w:t>
      </w:r>
      <w:proofErr w:type="gramEnd"/>
    </w:p>
    <w:p w14:paraId="620B6EB9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Flush pipes, faucets, and equipment with water line connections per water authority’s </w:t>
      </w:r>
      <w:proofErr w:type="gramStart"/>
      <w:r w:rsidRPr="00EE25AD">
        <w:rPr>
          <w:sz w:val="22"/>
          <w:szCs w:val="22"/>
        </w:rPr>
        <w:t>recommendations</w:t>
      </w:r>
      <w:r>
        <w:rPr>
          <w:sz w:val="22"/>
          <w:szCs w:val="22"/>
        </w:rPr>
        <w:t>;</w:t>
      </w:r>
      <w:proofErr w:type="gramEnd"/>
    </w:p>
    <w:p w14:paraId="6BA396D5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Flush hot water heater per water authority’s </w:t>
      </w:r>
      <w:proofErr w:type="gramStart"/>
      <w:r w:rsidRPr="00EE25AD">
        <w:rPr>
          <w:sz w:val="22"/>
          <w:szCs w:val="22"/>
        </w:rPr>
        <w:t>recommendations</w:t>
      </w:r>
      <w:r>
        <w:rPr>
          <w:sz w:val="22"/>
          <w:szCs w:val="22"/>
        </w:rPr>
        <w:t>;</w:t>
      </w:r>
      <w:proofErr w:type="gramEnd"/>
    </w:p>
    <w:p w14:paraId="7DDE4B3B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Clean and sanitize all food contact surfaces that were contaminated with flood </w:t>
      </w:r>
      <w:proofErr w:type="gramStart"/>
      <w:r w:rsidRPr="00EE25AD">
        <w:rPr>
          <w:sz w:val="22"/>
          <w:szCs w:val="22"/>
        </w:rPr>
        <w:t>waters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53F91F54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 w:rsidRPr="00EE25AD">
        <w:rPr>
          <w:sz w:val="22"/>
          <w:szCs w:val="22"/>
        </w:rPr>
        <w:t xml:space="preserve">Discard any single service utensils or packaged food items contaminated with flood </w:t>
      </w:r>
      <w:proofErr w:type="gramStart"/>
      <w:r w:rsidRPr="00EE25AD">
        <w:rPr>
          <w:sz w:val="22"/>
          <w:szCs w:val="22"/>
        </w:rPr>
        <w:t>waters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1733ADF6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EE25AD">
        <w:rPr>
          <w:sz w:val="22"/>
          <w:szCs w:val="22"/>
        </w:rPr>
        <w:t>n approved and functioning wastewater system as required</w:t>
      </w:r>
      <w:r>
        <w:rPr>
          <w:sz w:val="22"/>
          <w:szCs w:val="22"/>
        </w:rPr>
        <w:t>; and</w:t>
      </w:r>
    </w:p>
    <w:p w14:paraId="34A5850B" w14:textId="77777777" w:rsidR="00C12F05" w:rsidRPr="00EE25AD" w:rsidRDefault="00C12F05" w:rsidP="00C12F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a</w:t>
      </w:r>
      <w:r w:rsidRPr="00EE25AD">
        <w:rPr>
          <w:sz w:val="22"/>
          <w:szCs w:val="22"/>
        </w:rPr>
        <w:t>pproved structure and facility as required</w:t>
      </w:r>
      <w:r>
        <w:rPr>
          <w:sz w:val="22"/>
          <w:szCs w:val="22"/>
        </w:rPr>
        <w:t>.</w:t>
      </w:r>
    </w:p>
    <w:p w14:paraId="5F3BC766" w14:textId="77777777" w:rsidR="00A32CDD" w:rsidRPr="00EE25AD" w:rsidRDefault="00A32CDD" w:rsidP="00A32CDD">
      <w:pPr>
        <w:rPr>
          <w:sz w:val="22"/>
          <w:szCs w:val="22"/>
        </w:rPr>
      </w:pPr>
    </w:p>
    <w:p w14:paraId="5F09001C" w14:textId="224F2946" w:rsidR="005E65C0" w:rsidRDefault="00A32CDD" w:rsidP="00A32CDD">
      <w:pPr>
        <w:rPr>
          <w:sz w:val="22"/>
          <w:szCs w:val="22"/>
        </w:rPr>
      </w:pPr>
      <w:r w:rsidRPr="005E65C0">
        <w:rPr>
          <w:b/>
          <w:bCs/>
          <w:sz w:val="22"/>
          <w:szCs w:val="22"/>
        </w:rPr>
        <w:t xml:space="preserve">You have a right to a formal appeal </w:t>
      </w:r>
      <w:r w:rsidR="00236B29" w:rsidRPr="005E65C0">
        <w:rPr>
          <w:b/>
          <w:bCs/>
          <w:sz w:val="22"/>
          <w:szCs w:val="22"/>
        </w:rPr>
        <w:t>for</w:t>
      </w:r>
      <w:r w:rsidRPr="005E65C0">
        <w:rPr>
          <w:b/>
          <w:bCs/>
          <w:sz w:val="22"/>
          <w:szCs w:val="22"/>
        </w:rPr>
        <w:t xml:space="preserve"> this decision</w:t>
      </w:r>
      <w:r w:rsidRPr="00EE25AD">
        <w:rPr>
          <w:sz w:val="22"/>
          <w:szCs w:val="22"/>
        </w:rPr>
        <w:t xml:space="preserve">. To pursue a formal appeal, you must file a petition for a contested case hearing with the Office of Administrative Hearings, </w:t>
      </w:r>
      <w:r w:rsidR="005E65C0" w:rsidRPr="005E65C0">
        <w:rPr>
          <w:sz w:val="22"/>
          <w:szCs w:val="22"/>
        </w:rPr>
        <w:t>1711 New Hope Church Road</w:t>
      </w:r>
      <w:r w:rsidRPr="00EE25AD">
        <w:rPr>
          <w:sz w:val="22"/>
          <w:szCs w:val="22"/>
        </w:rPr>
        <w:t>, Raleigh, NC 276</w:t>
      </w:r>
      <w:r w:rsidR="005E65C0">
        <w:rPr>
          <w:sz w:val="22"/>
          <w:szCs w:val="22"/>
        </w:rPr>
        <w:t>09</w:t>
      </w:r>
      <w:r w:rsidRPr="00EE25AD">
        <w:rPr>
          <w:sz w:val="22"/>
          <w:szCs w:val="22"/>
        </w:rPr>
        <w:t xml:space="preserve">. </w:t>
      </w:r>
      <w:r w:rsidR="005E65C0">
        <w:rPr>
          <w:sz w:val="22"/>
          <w:szCs w:val="22"/>
        </w:rPr>
        <w:t xml:space="preserve">To get a copy of a petition form, you may write the Office of Administrative Hearings, call the office at 984-236-1850, or download it from the OAH website at </w:t>
      </w:r>
      <w:hyperlink r:id="rId8" w:history="1">
        <w:r w:rsidR="005E65C0" w:rsidRPr="004C272D">
          <w:rPr>
            <w:rStyle w:val="Hyperlink"/>
            <w:sz w:val="22"/>
            <w:szCs w:val="22"/>
          </w:rPr>
          <w:t>https://www.oah.nc.gov/</w:t>
        </w:r>
      </w:hyperlink>
      <w:r w:rsidR="005E65C0">
        <w:rPr>
          <w:sz w:val="22"/>
          <w:szCs w:val="22"/>
        </w:rPr>
        <w:t xml:space="preserve">. </w:t>
      </w:r>
      <w:r w:rsidRPr="00EE25AD">
        <w:rPr>
          <w:sz w:val="22"/>
          <w:szCs w:val="22"/>
        </w:rPr>
        <w:t xml:space="preserve">The petition for a contested case hearing must be filed in accordance with the provisions of North Carolina General Statutes 130A-24 and 150B-23 and all other applicable provisions of Chapter 150B. </w:t>
      </w:r>
    </w:p>
    <w:p w14:paraId="1CE52D97" w14:textId="77777777" w:rsidR="005E65C0" w:rsidRDefault="005E65C0" w:rsidP="00A32CDD">
      <w:pPr>
        <w:rPr>
          <w:sz w:val="22"/>
          <w:szCs w:val="22"/>
        </w:rPr>
      </w:pPr>
    </w:p>
    <w:p w14:paraId="135D8F04" w14:textId="241BEE83" w:rsidR="00A32CDD" w:rsidRPr="00EE25AD" w:rsidRDefault="00A32CDD" w:rsidP="00A32CDD">
      <w:pPr>
        <w:rPr>
          <w:sz w:val="22"/>
          <w:szCs w:val="22"/>
        </w:rPr>
      </w:pPr>
      <w:r w:rsidRPr="00A26646">
        <w:rPr>
          <w:b/>
          <w:bCs/>
          <w:sz w:val="22"/>
          <w:szCs w:val="22"/>
        </w:rPr>
        <w:t>PLEASE NOTE</w:t>
      </w:r>
      <w:r w:rsidRPr="00EE25AD">
        <w:rPr>
          <w:sz w:val="22"/>
          <w:szCs w:val="22"/>
        </w:rPr>
        <w:t xml:space="preserve">: If you wish to pursue a formal appeal, you must file </w:t>
      </w:r>
      <w:r w:rsidR="00236B29">
        <w:rPr>
          <w:sz w:val="22"/>
          <w:szCs w:val="22"/>
        </w:rPr>
        <w:t>the</w:t>
      </w:r>
      <w:r w:rsidRPr="00EE25AD">
        <w:rPr>
          <w:sz w:val="22"/>
          <w:szCs w:val="22"/>
        </w:rPr>
        <w:t xml:space="preserve"> petition</w:t>
      </w:r>
      <w:r w:rsidR="00236B29">
        <w:rPr>
          <w:sz w:val="22"/>
          <w:szCs w:val="22"/>
        </w:rPr>
        <w:t xml:space="preserve"> form</w:t>
      </w:r>
      <w:r w:rsidRPr="00EE25AD">
        <w:rPr>
          <w:sz w:val="22"/>
          <w:szCs w:val="22"/>
        </w:rPr>
        <w:t xml:space="preserve"> with the Office of Administrative Hearings </w:t>
      </w:r>
      <w:r w:rsidRPr="00A26646">
        <w:rPr>
          <w:b/>
          <w:bCs/>
          <w:sz w:val="22"/>
          <w:szCs w:val="22"/>
        </w:rPr>
        <w:t>WITHIN 30 DAYS OF THE DATE OF THIS LETTER</w:t>
      </w:r>
      <w:r w:rsidRPr="00EE25AD">
        <w:rPr>
          <w:sz w:val="22"/>
          <w:szCs w:val="22"/>
        </w:rPr>
        <w:t xml:space="preserve">. </w:t>
      </w:r>
      <w:r w:rsidR="005E65C0">
        <w:rPr>
          <w:sz w:val="22"/>
          <w:szCs w:val="22"/>
        </w:rPr>
        <w:t xml:space="preserve">The date of this letter is ______. Meeting the 30-day deadline is critical to your appeal. </w:t>
      </w:r>
      <w:r w:rsidRPr="00A26646">
        <w:rPr>
          <w:b/>
          <w:bCs/>
          <w:sz w:val="22"/>
          <w:szCs w:val="22"/>
        </w:rPr>
        <w:t>FILING A FORMAL APPEAL DOES NOT AUTOMATICALLY STAY AN IMMEDIATE PERMIT SUSPENSION OR REVOCATION</w:t>
      </w:r>
      <w:r w:rsidRPr="00EE25AD">
        <w:rPr>
          <w:sz w:val="22"/>
          <w:szCs w:val="22"/>
        </w:rPr>
        <w:t xml:space="preserve">. </w:t>
      </w:r>
    </w:p>
    <w:p w14:paraId="4930BEAF" w14:textId="0F734980" w:rsidR="009B55A0" w:rsidRPr="00EE25AD" w:rsidRDefault="009B55A0">
      <w:pPr>
        <w:rPr>
          <w:sz w:val="22"/>
          <w:szCs w:val="22"/>
        </w:rPr>
      </w:pPr>
    </w:p>
    <w:p w14:paraId="3A75EE4E" w14:textId="77777777" w:rsidR="00A32CDD" w:rsidRDefault="00A32CDD" w:rsidP="00A32CDD">
      <w:pPr>
        <w:rPr>
          <w:sz w:val="22"/>
          <w:szCs w:val="22"/>
        </w:rPr>
      </w:pPr>
      <w:r w:rsidRPr="00EE25AD">
        <w:rPr>
          <w:sz w:val="22"/>
          <w:szCs w:val="22"/>
        </w:rPr>
        <w:lastRenderedPageBreak/>
        <w:t>If you file a petition for a contested case hearing with the Office of Administrative Hearings, you are required by law (NC General Statute 150B-23) to serve a copy of your petition on the Office of General Counsel, NC Department of Health and Human Services, 2001 Mail Service Center, Raleigh, NC 27699-2001.</w:t>
      </w:r>
    </w:p>
    <w:p w14:paraId="7F40DA50" w14:textId="77777777" w:rsidR="005E65C0" w:rsidRDefault="005E65C0" w:rsidP="00A32CDD">
      <w:pPr>
        <w:rPr>
          <w:sz w:val="22"/>
          <w:szCs w:val="22"/>
        </w:rPr>
      </w:pPr>
    </w:p>
    <w:p w14:paraId="6A8B5762" w14:textId="702B48B7" w:rsidR="005E65C0" w:rsidRPr="00EE25AD" w:rsidRDefault="005E65C0" w:rsidP="00A32CDD">
      <w:pPr>
        <w:rPr>
          <w:sz w:val="22"/>
          <w:szCs w:val="22"/>
        </w:rPr>
      </w:pPr>
      <w:r w:rsidRPr="00A26646">
        <w:rPr>
          <w:b/>
          <w:bCs/>
          <w:sz w:val="22"/>
          <w:szCs w:val="22"/>
        </w:rPr>
        <w:t>Do not serve the petition on your local health department</w:t>
      </w:r>
      <w:r>
        <w:rPr>
          <w:sz w:val="22"/>
          <w:szCs w:val="22"/>
        </w:rPr>
        <w:t>. Sending a copy of your petition to the local health department will not satisfy the legal requirement in General Statute 150B-23 that you send a copy to the Office of General Counsel, Department of Health and Human Services.</w:t>
      </w:r>
    </w:p>
    <w:p w14:paraId="796E47D7" w14:textId="77777777" w:rsidR="00FE7CD3" w:rsidRPr="00EE25AD" w:rsidRDefault="00FE7CD3">
      <w:pPr>
        <w:rPr>
          <w:sz w:val="22"/>
          <w:szCs w:val="22"/>
        </w:rPr>
      </w:pPr>
    </w:p>
    <w:p w14:paraId="1CE41AC4" w14:textId="77777777" w:rsidR="00FE7CD3" w:rsidRPr="00EE25AD" w:rsidRDefault="00FE7CD3" w:rsidP="00FE7CD3">
      <w:pPr>
        <w:rPr>
          <w:sz w:val="22"/>
          <w:szCs w:val="22"/>
        </w:rPr>
      </w:pPr>
    </w:p>
    <w:p w14:paraId="6AB18CA3" w14:textId="77777777" w:rsidR="00FE7CD3" w:rsidRDefault="00FE7CD3"/>
    <w:sectPr w:rsidR="00FE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F5DAC"/>
    <w:multiLevelType w:val="multilevel"/>
    <w:tmpl w:val="BC5A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B6863"/>
    <w:multiLevelType w:val="multilevel"/>
    <w:tmpl w:val="CA7E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54692">
    <w:abstractNumId w:val="1"/>
  </w:num>
  <w:num w:numId="2" w16cid:durableId="52429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D"/>
    <w:rsid w:val="00015EA4"/>
    <w:rsid w:val="000C50C7"/>
    <w:rsid w:val="00236B29"/>
    <w:rsid w:val="003A17CA"/>
    <w:rsid w:val="003A5AE9"/>
    <w:rsid w:val="00457E08"/>
    <w:rsid w:val="00494BB8"/>
    <w:rsid w:val="004F69CD"/>
    <w:rsid w:val="005E65C0"/>
    <w:rsid w:val="006000DE"/>
    <w:rsid w:val="00664153"/>
    <w:rsid w:val="006B3038"/>
    <w:rsid w:val="007F52BF"/>
    <w:rsid w:val="00925A24"/>
    <w:rsid w:val="009B55A0"/>
    <w:rsid w:val="00A26646"/>
    <w:rsid w:val="00A32CDD"/>
    <w:rsid w:val="00A76B82"/>
    <w:rsid w:val="00B2314F"/>
    <w:rsid w:val="00B2416F"/>
    <w:rsid w:val="00B40B68"/>
    <w:rsid w:val="00B8473B"/>
    <w:rsid w:val="00B97F68"/>
    <w:rsid w:val="00C12F05"/>
    <w:rsid w:val="00D43237"/>
    <w:rsid w:val="00D76579"/>
    <w:rsid w:val="00DE2B4E"/>
    <w:rsid w:val="00E74C8A"/>
    <w:rsid w:val="00EE25AD"/>
    <w:rsid w:val="00F64473"/>
    <w:rsid w:val="00F779A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2464"/>
  <w15:chartTrackingRefBased/>
  <w15:docId w15:val="{F3A952FB-35D5-4769-92AD-52967D6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D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B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5C0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0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5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h.nc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2578a-9626-4370-a602-2e9b3d8fa1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A84604ACA0459D1C56AB6B994A21" ma:contentTypeVersion="9" ma:contentTypeDescription="Create a new document." ma:contentTypeScope="" ma:versionID="7655ed8f43931726c9cacee65681c0ed">
  <xsd:schema xmlns:xsd="http://www.w3.org/2001/XMLSchema" xmlns:xs="http://www.w3.org/2001/XMLSchema" xmlns:p="http://schemas.microsoft.com/office/2006/metadata/properties" xmlns:ns3="a9b2578a-9626-4370-a602-2e9b3d8fa146" xmlns:ns4="5111bdaa-5198-4283-8ed9-db8a9b636183" targetNamespace="http://schemas.microsoft.com/office/2006/metadata/properties" ma:root="true" ma:fieldsID="2af743c880df2b0953674ec0306457e8" ns3:_="" ns4:_="">
    <xsd:import namespace="a9b2578a-9626-4370-a602-2e9b3d8fa146"/>
    <xsd:import namespace="5111bdaa-5198-4283-8ed9-db8a9b63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578a-9626-4370-a602-2e9b3d8f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1bdaa-5198-4283-8ed9-db8a9b63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A9924-42D3-4E16-B956-0510C824E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196EE-A623-4FC5-94A4-0E0A4FCBA1C8}">
  <ds:schemaRefs>
    <ds:schemaRef ds:uri="http://schemas.microsoft.com/office/2006/metadata/properties"/>
    <ds:schemaRef ds:uri="http://schemas.microsoft.com/office/infopath/2007/PartnerControls"/>
    <ds:schemaRef ds:uri="a9b2578a-9626-4370-a602-2e9b3d8fa146"/>
  </ds:schemaRefs>
</ds:datastoreItem>
</file>

<file path=customXml/itemProps3.xml><?xml version="1.0" encoding="utf-8"?>
<ds:datastoreItem xmlns:ds="http://schemas.openxmlformats.org/officeDocument/2006/customXml" ds:itemID="{AE2C8E21-FF2E-4F10-B59F-55BDFCB9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578a-9626-4370-a602-2e9b3d8fa146"/>
    <ds:schemaRef ds:uri="5111bdaa-5198-4283-8ed9-db8a9b63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Larry</dc:creator>
  <cp:keywords/>
  <dc:description/>
  <cp:lastModifiedBy>Megan Burnette</cp:lastModifiedBy>
  <cp:revision>2</cp:revision>
  <cp:lastPrinted>2020-03-12T14:41:00Z</cp:lastPrinted>
  <dcterms:created xsi:type="dcterms:W3CDTF">2024-10-05T20:26:00Z</dcterms:created>
  <dcterms:modified xsi:type="dcterms:W3CDTF">2024-10-05T20:26:00Z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0x010100503BA84604ACA0459D1C56AB6B994A21</vt:lpwstr>
  </property>
</Properties>
</file>